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F" w:rsidRPr="00A8554F" w:rsidRDefault="00204D4F" w:rsidP="003E560F">
      <w:pPr>
        <w:jc w:val="center"/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4B3A18" w:rsidRPr="00A8554F" w:rsidRDefault="004B3A18" w:rsidP="003E560F">
      <w:pPr>
        <w:jc w:val="center"/>
      </w:pPr>
    </w:p>
    <w:p w:rsidR="00204D4F" w:rsidRPr="00A8554F" w:rsidRDefault="00204D4F" w:rsidP="00204D4F">
      <w:pPr>
        <w:jc w:val="center"/>
      </w:pPr>
      <w:r w:rsidRPr="00A8554F">
        <w:rPr>
          <w:b/>
          <w:bCs/>
        </w:rPr>
        <w:t xml:space="preserve">Информационный бюллетень № </w:t>
      </w:r>
      <w:r w:rsidR="006F5AD4" w:rsidRPr="00A8554F">
        <w:rPr>
          <w:b/>
          <w:bCs/>
        </w:rPr>
        <w:t>0</w:t>
      </w:r>
      <w:r w:rsidR="001C0BA4">
        <w:rPr>
          <w:b/>
          <w:bCs/>
        </w:rPr>
        <w:t>8</w:t>
      </w:r>
      <w:r w:rsidRPr="00A8554F">
        <w:rPr>
          <w:b/>
          <w:bCs/>
        </w:rPr>
        <w:t>-202</w:t>
      </w:r>
      <w:r w:rsidR="006F5AD4" w:rsidRPr="00A8554F">
        <w:rPr>
          <w:b/>
          <w:bCs/>
        </w:rPr>
        <w:t>3</w:t>
      </w:r>
    </w:p>
    <w:p w:rsidR="00204D4F" w:rsidRPr="00A8554F" w:rsidRDefault="00204D4F" w:rsidP="00204D4F">
      <w:pPr>
        <w:jc w:val="center"/>
      </w:pPr>
      <w:r w:rsidRPr="00A8554F">
        <w:rPr>
          <w:b/>
          <w:bCs/>
        </w:rPr>
        <w:t xml:space="preserve">Новые стандарты, официально опубликованные и поступившие в фонд </w:t>
      </w:r>
    </w:p>
    <w:p w:rsidR="002D4DA8" w:rsidRPr="00A8554F" w:rsidRDefault="00204D4F" w:rsidP="00F35288">
      <w:pPr>
        <w:jc w:val="center"/>
        <w:rPr>
          <w:b/>
          <w:bCs/>
        </w:rPr>
      </w:pPr>
      <w:r w:rsidRPr="00A8554F">
        <w:rPr>
          <w:b/>
          <w:bCs/>
        </w:rPr>
        <w:t xml:space="preserve">ФБУ «Псковский ЦСМ» </w:t>
      </w:r>
      <w:r w:rsidRPr="00A8554F">
        <w:rPr>
          <w:b/>
          <w:bCs/>
        </w:rPr>
        <w:br/>
      </w:r>
      <w:r w:rsidRPr="00A8554F">
        <w:rPr>
          <w:b/>
        </w:rPr>
        <w:t xml:space="preserve">с </w:t>
      </w:r>
      <w:r w:rsidR="001C0BA4">
        <w:rPr>
          <w:b/>
        </w:rPr>
        <w:t>27</w:t>
      </w:r>
      <w:r w:rsidRPr="00A8554F">
        <w:rPr>
          <w:b/>
        </w:rPr>
        <w:t>.</w:t>
      </w:r>
      <w:r w:rsidR="0075293A" w:rsidRPr="00A8554F">
        <w:rPr>
          <w:b/>
        </w:rPr>
        <w:t>0</w:t>
      </w:r>
      <w:r w:rsidR="001C0BA4">
        <w:rPr>
          <w:b/>
        </w:rPr>
        <w:t>7</w:t>
      </w:r>
      <w:r w:rsidRPr="00A8554F">
        <w:rPr>
          <w:b/>
        </w:rPr>
        <w:t>.202</w:t>
      </w:r>
      <w:r w:rsidR="0075293A" w:rsidRPr="00A8554F">
        <w:rPr>
          <w:b/>
        </w:rPr>
        <w:t>3</w:t>
      </w:r>
      <w:r w:rsidRPr="00A8554F">
        <w:rPr>
          <w:b/>
        </w:rPr>
        <w:t xml:space="preserve"> по </w:t>
      </w:r>
      <w:r w:rsidR="001C0BA4">
        <w:rPr>
          <w:b/>
        </w:rPr>
        <w:t>17</w:t>
      </w:r>
      <w:r w:rsidRPr="00A8554F">
        <w:rPr>
          <w:b/>
        </w:rPr>
        <w:t>.0</w:t>
      </w:r>
      <w:r w:rsidR="001C0BA4">
        <w:rPr>
          <w:b/>
        </w:rPr>
        <w:t>8</w:t>
      </w:r>
      <w:r w:rsidRPr="00A8554F">
        <w:rPr>
          <w:b/>
        </w:rPr>
        <w:t>.2023</w:t>
      </w:r>
      <w:r w:rsidRPr="00A8554F">
        <w:rPr>
          <w:b/>
          <w:bCs/>
        </w:rPr>
        <w:t xml:space="preserve"> г. </w:t>
      </w:r>
    </w:p>
    <w:p w:rsidR="004B3A18" w:rsidRDefault="004B3A18" w:rsidP="003E560F">
      <w:pPr>
        <w:ind w:right="-284" w:firstLine="567"/>
        <w:jc w:val="both"/>
        <w:rPr>
          <w:b/>
          <w:bCs/>
          <w:sz w:val="18"/>
          <w:szCs w:val="18"/>
        </w:rPr>
      </w:pPr>
    </w:p>
    <w:p w:rsidR="00F17AC6" w:rsidRPr="00A72AB2" w:rsidRDefault="00204D4F" w:rsidP="003E560F">
      <w:pPr>
        <w:ind w:right="-284" w:firstLine="567"/>
        <w:jc w:val="both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tbl>
      <w:tblPr>
        <w:tblStyle w:val="a7"/>
        <w:tblW w:w="4961" w:type="pct"/>
        <w:tblInd w:w="250" w:type="dxa"/>
        <w:tblLook w:val="04A0"/>
      </w:tblPr>
      <w:tblGrid>
        <w:gridCol w:w="567"/>
        <w:gridCol w:w="1951"/>
        <w:gridCol w:w="5562"/>
        <w:gridCol w:w="1523"/>
        <w:gridCol w:w="996"/>
      </w:tblGrid>
      <w:tr w:rsidR="00D95DC0" w:rsidRPr="00A8554F" w:rsidTr="00D513D8">
        <w:trPr>
          <w:cantSplit/>
          <w:tblHeader/>
        </w:trPr>
        <w:tc>
          <w:tcPr>
            <w:tcW w:w="567" w:type="dxa"/>
          </w:tcPr>
          <w:p w:rsidR="00D95DC0" w:rsidRPr="00A8554F" w:rsidRDefault="00D95DC0" w:rsidP="00AD5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95DC0" w:rsidRPr="00A8554F" w:rsidRDefault="00D95DC0" w:rsidP="00AD59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554F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5562" w:type="dxa"/>
            <w:vAlign w:val="center"/>
          </w:tcPr>
          <w:p w:rsidR="00D95DC0" w:rsidRPr="00A8554F" w:rsidRDefault="00D95DC0" w:rsidP="00AD59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554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b/>
                <w:sz w:val="24"/>
                <w:szCs w:val="24"/>
              </w:rPr>
            </w:pPr>
            <w:r w:rsidRPr="00A8554F">
              <w:rPr>
                <w:b/>
                <w:sz w:val="24"/>
                <w:szCs w:val="24"/>
              </w:rPr>
              <w:t>Действует с</w:t>
            </w:r>
          </w:p>
        </w:tc>
        <w:tc>
          <w:tcPr>
            <w:tcW w:w="996" w:type="dxa"/>
            <w:vAlign w:val="center"/>
          </w:tcPr>
          <w:p w:rsidR="00D95DC0" w:rsidRPr="00A8554F" w:rsidRDefault="00D95DC0" w:rsidP="00E94498">
            <w:pPr>
              <w:jc w:val="center"/>
              <w:rPr>
                <w:b/>
                <w:sz w:val="24"/>
                <w:szCs w:val="24"/>
              </w:rPr>
            </w:pPr>
            <w:r w:rsidRPr="00A8554F">
              <w:rPr>
                <w:b/>
                <w:sz w:val="24"/>
                <w:szCs w:val="24"/>
              </w:rPr>
              <w:t>Цена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D513D8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22.3.01-2023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Безопасность в чрезвычайных ситуациях. Первоочередное жизнеобеспечение пострадавшего населения.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22.0.06-2023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Безопасность в чрезвычайных ситуациях. Источники природных чрезвычайных ситуаций. </w:t>
            </w:r>
            <w:proofErr w:type="spellStart"/>
            <w:r w:rsidRPr="00667EED">
              <w:rPr>
                <w:lang w:val="en-US"/>
              </w:rPr>
              <w:t>Поражающие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факторы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Номенклатура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поражающих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воздействий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24696-2023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Подшипники качения. Подшипники роликовые сферические двухрядные с симметричными роликами.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30801.5-2023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Предохранители миниатюрные плавкие. Часть 5. Руководящие указания по оценке качества миниатюрных плавких вставок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31385-2023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Резервуары вертикальные цилиндрические стальные для нефти и нефтепродуктов.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34962-2023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Газ природный. Представление данных газохроматографического анализа. </w:t>
            </w:r>
            <w:proofErr w:type="spellStart"/>
            <w:r w:rsidRPr="00667EED">
              <w:rPr>
                <w:lang w:val="en-US"/>
              </w:rPr>
              <w:t>Формат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файла</w:t>
            </w:r>
            <w:proofErr w:type="spellEnd"/>
            <w:r w:rsidRPr="00667EED">
              <w:rPr>
                <w:lang w:val="en-US"/>
              </w:rPr>
              <w:t xml:space="preserve"> XML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14234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34966.1-2023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Преобразователи силовые двунаправленные, подсоединенные к электросети.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34970.1-2023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Пластмассы. Полиэтилентерефталат </w:t>
            </w:r>
            <w:proofErr w:type="spellStart"/>
            <w:r w:rsidRPr="009B7401">
              <w:t>рециклированный</w:t>
            </w:r>
            <w:proofErr w:type="spellEnd"/>
            <w:r w:rsidRPr="009B7401">
              <w:t>. Часть 1. Система обозначения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34970.2-2023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Пластмассы. Полиэтилентерефталат </w:t>
            </w:r>
            <w:proofErr w:type="spellStart"/>
            <w:r w:rsidRPr="009B7401">
              <w:t>рециклированный</w:t>
            </w:r>
            <w:proofErr w:type="spellEnd"/>
            <w:r w:rsidRPr="009B7401">
              <w:t>. Часть 2. Изготовление образцов для испытания и определение свойств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54571-2023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proofErr w:type="spellStart"/>
            <w:r w:rsidRPr="009B7401">
              <w:t>Пропанты</w:t>
            </w:r>
            <w:proofErr w:type="spellEnd"/>
            <w:r w:rsidRPr="009B7401">
              <w:t xml:space="preserve"> магнезиально-кварцевые. Технические условия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55321-2023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Услуги населению. </w:t>
            </w:r>
            <w:proofErr w:type="spellStart"/>
            <w:r w:rsidRPr="009B7401">
              <w:t>СПА-услуги</w:t>
            </w:r>
            <w:proofErr w:type="spellEnd"/>
            <w:r w:rsidRPr="009B7401">
              <w:t>. Общие требования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56038-2023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Услуги жилищно-коммунального хозяйства и управления многоквартирными домами. </w:t>
            </w:r>
            <w:proofErr w:type="spellStart"/>
            <w:r w:rsidRPr="00667EED">
              <w:rPr>
                <w:lang w:val="en-US"/>
              </w:rPr>
              <w:t>Услуги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многоквартирными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домами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70421-2023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Элементы локализующих систем безопасности атомных станций. Расчет на прочность на стадии эксплуатации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70432-2023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Трубопроводы атомных станций, подверженные эрозионно-коррозионному износу. </w:t>
            </w:r>
            <w:proofErr w:type="spellStart"/>
            <w:r w:rsidRPr="00667EED">
              <w:rPr>
                <w:lang w:val="en-US"/>
              </w:rPr>
              <w:t>Методики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расчета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допустимых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прогнозируемых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толщин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стенок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70662-2023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Служебные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форматы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70663-2023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созданию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динамических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мозаичных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покрытий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70664-2023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стереообработке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70665-2023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Дистанционное зондирование Земли из космоса. Космические системы дистанционного зондирования Земли. </w:t>
            </w:r>
            <w:proofErr w:type="spellStart"/>
            <w:r w:rsidRPr="00667EED">
              <w:rPr>
                <w:lang w:val="en-US"/>
              </w:rPr>
              <w:t>Показатели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эффективности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70666-2023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Дистанционное зондирование Земли из космоса. Космические системы дистанционного зондирования Земли. </w:t>
            </w:r>
            <w:proofErr w:type="spellStart"/>
            <w:r w:rsidRPr="00667EED">
              <w:rPr>
                <w:lang w:val="en-US"/>
              </w:rPr>
              <w:t>Показатели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производительности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70667-2023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Дистанционное зондирование Земли из космоса. </w:t>
            </w:r>
            <w:proofErr w:type="spellStart"/>
            <w:r w:rsidRPr="009B7401">
              <w:t>Подспутниковые</w:t>
            </w:r>
            <w:proofErr w:type="spellEnd"/>
            <w:r w:rsidRPr="009B7401">
              <w:t xml:space="preserve"> наблюдения. Требования к наземным измерениям при космической съемке в средневолновом и длинноволновом инфракрасном диапазонах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70668-2023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Дистанционное зондирование Земли из космоса. </w:t>
            </w:r>
            <w:proofErr w:type="spellStart"/>
            <w:r w:rsidRPr="009B7401">
              <w:t>Подспутниковые</w:t>
            </w:r>
            <w:proofErr w:type="spellEnd"/>
            <w:r w:rsidRPr="009B7401">
              <w:t xml:space="preserve"> наблюдения. Требования к наземным измерениям при космической съемке в радиолокационном диапазоне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70669-2023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хранении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70670-2023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спецификации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70672-2023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Дистанционное зондирование Земли из космоса. Продукты и услуги дистанционного зондирования Земли из космоса. Общие требования к сервису обработки и анализа данных дистанционного зондирования Земли из космоса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70673-2023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Дистанционное зондирование Земли из космоса. Продукты тематические цифровые. Требования к спецификации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70740-2023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Система защиты от фальсификаций и </w:t>
            </w:r>
            <w:proofErr w:type="spellStart"/>
            <w:r w:rsidRPr="009B7401">
              <w:t>контрафакта</w:t>
            </w:r>
            <w:proofErr w:type="spellEnd"/>
            <w:r w:rsidRPr="009B7401">
              <w:t xml:space="preserve">. Автоматизированные информационные системы прослеживаемости оборота материалов.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70742-2023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Система защиты от фальсификаций и </w:t>
            </w:r>
            <w:proofErr w:type="spellStart"/>
            <w:r w:rsidRPr="009B7401">
              <w:t>контрафакта</w:t>
            </w:r>
            <w:proofErr w:type="spellEnd"/>
            <w:r w:rsidRPr="009B7401">
              <w:t xml:space="preserve">. Идентификация и </w:t>
            </w:r>
            <w:proofErr w:type="spellStart"/>
            <w:r w:rsidRPr="009B7401">
              <w:t>машиносчитываемая</w:t>
            </w:r>
            <w:proofErr w:type="spellEnd"/>
            <w:r w:rsidRPr="009B7401">
              <w:t xml:space="preserve"> маркировка материалов.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70750-2023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Гидроэлектростанции. Гидротехнические сооружения. Подводно-техническое обследование состояния гидротехнических сооружений и примыкающих к ним участков неукрепленного русла.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70814-2023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Гидроприводы объемные. Методы измерений параметров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70816-2023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Александриты природные необработанные. Требования к сортировке и первичной классификации, сортировке и аттестации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70817-2023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Сталь и сплавы. Наименования и основные обозначения марок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70818-2023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Инженерные сети наружные. Системы канализации автономные с септиками и подземной фильтрацией сточных вод.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монтажа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70820-2023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Услуги бытовые. Требования к качеству и безопасности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70821-2023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Услуги профессиональной уборки – </w:t>
            </w:r>
            <w:proofErr w:type="spellStart"/>
            <w:r w:rsidRPr="009B7401">
              <w:t>клининговые</w:t>
            </w:r>
            <w:proofErr w:type="spellEnd"/>
            <w:r w:rsidRPr="009B7401">
              <w:t xml:space="preserve"> услуги. Уборка в общеобразовательных организациях. Общие требования и требования безопасности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70822-2023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Услуги профессиональной уборки – </w:t>
            </w:r>
            <w:proofErr w:type="spellStart"/>
            <w:r w:rsidRPr="009B7401">
              <w:t>клининговые</w:t>
            </w:r>
            <w:proofErr w:type="spellEnd"/>
            <w:r w:rsidRPr="009B7401">
              <w:t xml:space="preserve"> услуги. Уборка в дошкольных образовательных организациях.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70823-2023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Услуги бытовые. Дома похоронные. Общие требования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70824-2023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Инженерные сети зданий и сооружений внутренние. Устройство систем вентиляции многоквартирных жилых зданий.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70825-2023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Инженерные сети наружные. Монтаж подземных водопроводов и трубопроводов напорной канализации из высокопрочного чугуна с шаровидным графитом.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70826-2023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Правила для руководителей проведения исследований по месту нахождения пациента (ИМНП) и пользователей медицинских изделий, предназначенных для этих целей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70827-2023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Системы </w:t>
            </w:r>
            <w:proofErr w:type="spellStart"/>
            <w:r w:rsidRPr="009B7401">
              <w:t>противодымной</w:t>
            </w:r>
            <w:proofErr w:type="spellEnd"/>
            <w:r w:rsidRPr="009B7401">
              <w:t xml:space="preserve"> вентиляции стоянок автомобилей. Метод испытаний при имитации пожара с использованием горячего дыма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70828-2023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Панели потолочные подвесные излучающие для систем водяного отопления.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70832-2023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Источники питания твердотельных лазеров. Основные параметры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70833-2023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Источники питания инжекционных лазеров импульсного режима.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70834-2023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Системы водяного отопления, встроенные в пол.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90-3-2023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Контейнеры металлические легкие. Определения и методы определения размеров и вместимости.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Баллоны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аэрозоля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90-2-2023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Контейнеры металлические легкие. Определения и методы определения размеров и вместимости.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Банки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общего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назначения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90-1-2023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Контейнеры металлические легкие. Определения и методы определения размеров и вместимости.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Банки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открываемые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сверху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6847-2023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Материалы сварочные. Наплавка металла для химического анализа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10993-15-2023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Изделия медицинские. Оценка биологического действия медицинских изделий. Часть 15. Идентификация и количественное определение продуктов деградации изделий из металлов и сплавов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15190-2023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Лаборатории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медицинские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15223-1-2023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Изделия медицинские. Символы, применяемые для передачи информации, предоставляемой изготовителем.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17677-1-2023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Контактная сварка. Словарь. Часть 1. Точечная, рельефная и шовная сварка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18488-2023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Полиэтилен для трубопроводных систем. Определение модуля деформационного упрочнения.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18568-2023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Упаковка и окружающая среда. Маркировка для идентификации материала упаковки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20166-3-2023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9B7401">
              <w:t xml:space="preserve"> </w:t>
            </w:r>
            <w:r w:rsidRPr="00667EED">
              <w:rPr>
                <w:lang w:val="en-US"/>
              </w:rPr>
              <w:t>vitro</w:t>
            </w:r>
            <w:r w:rsidRPr="009B7401">
              <w:t xml:space="preserve">. Требования к процессам </w:t>
            </w:r>
            <w:proofErr w:type="spellStart"/>
            <w:r w:rsidRPr="009B7401">
              <w:t>преаналитического</w:t>
            </w:r>
            <w:proofErr w:type="spellEnd"/>
            <w:r w:rsidRPr="009B7401">
              <w:t xml:space="preserve"> этапа исследования зафиксированных формалином тканей в парафиновых блоках (</w:t>
            </w:r>
            <w:r w:rsidRPr="00667EED">
              <w:rPr>
                <w:lang w:val="en-US"/>
              </w:rPr>
              <w:t>FFPE</w:t>
            </w:r>
            <w:r w:rsidRPr="009B7401">
              <w:t xml:space="preserve">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Выделенные</w:t>
            </w:r>
            <w:proofErr w:type="spellEnd"/>
            <w:r w:rsidRPr="00667EED">
              <w:rPr>
                <w:lang w:val="en-US"/>
              </w:rPr>
              <w:t xml:space="preserve"> ДНК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21561-2-2023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Каучуки бутадиен-стирольные. Определение микроструктуры бутадиен-стирольных каучуков растворной полимеризации. Часть 2. Метод </w:t>
            </w:r>
            <w:proofErr w:type="spellStart"/>
            <w:proofErr w:type="gramStart"/>
            <w:r w:rsidRPr="009B7401">
              <w:t>ИК-спектрометрии</w:t>
            </w:r>
            <w:proofErr w:type="spellEnd"/>
            <w:proofErr w:type="gramEnd"/>
            <w:r w:rsidRPr="009B7401">
              <w:t xml:space="preserve"> нарушенного полного внутреннего отражения с преобразованием Фурье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22497-2023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Конструкции фасадные </w:t>
            </w:r>
            <w:proofErr w:type="spellStart"/>
            <w:r w:rsidRPr="009B7401">
              <w:t>светопрозрачные</w:t>
            </w:r>
            <w:proofErr w:type="spellEnd"/>
            <w:r w:rsidRPr="009B7401">
              <w:t>. Термины и определения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23118-2023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Молекулярные диагностические исследования </w:t>
            </w:r>
            <w:r w:rsidRPr="00667EED">
              <w:rPr>
                <w:lang w:val="en-US"/>
              </w:rPr>
              <w:t>in</w:t>
            </w:r>
            <w:r w:rsidRPr="009B7401">
              <w:t xml:space="preserve"> </w:t>
            </w:r>
            <w:r w:rsidRPr="00667EED">
              <w:rPr>
                <w:lang w:val="en-US"/>
              </w:rPr>
              <w:t>vitro</w:t>
            </w:r>
            <w:r w:rsidRPr="009B7401">
              <w:t xml:space="preserve">. Требования к процессам </w:t>
            </w:r>
            <w:proofErr w:type="spellStart"/>
            <w:r w:rsidRPr="009B7401">
              <w:t>преаналитического</w:t>
            </w:r>
            <w:proofErr w:type="spellEnd"/>
            <w:r w:rsidRPr="009B7401">
              <w:t xml:space="preserve"> этапа исследования </w:t>
            </w:r>
            <w:proofErr w:type="spellStart"/>
            <w:r w:rsidRPr="009B7401">
              <w:t>метаболомики</w:t>
            </w:r>
            <w:proofErr w:type="spellEnd"/>
            <w:r w:rsidRPr="009B7401">
              <w:t xml:space="preserve"> мочи, сыворотки и плазмы венозной крови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23162-2023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Исследование качества спермы базовое. Требования и методы исследований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60884-2-5-2023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Соединители электрические штепсельные бытового и аналогичного назначения.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2-5. </w:t>
            </w:r>
            <w:proofErr w:type="spellStart"/>
            <w:r w:rsidRPr="00667EED">
              <w:rPr>
                <w:lang w:val="en-US"/>
              </w:rPr>
              <w:t>Дополнительные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переходникам</w:t>
            </w:r>
            <w:proofErr w:type="spellEnd"/>
            <w:r w:rsidRPr="00667EED">
              <w:rPr>
                <w:lang w:val="en-US"/>
              </w:rPr>
              <w:t xml:space="preserve"> (</w:t>
            </w:r>
            <w:proofErr w:type="spellStart"/>
            <w:r w:rsidRPr="00667EED">
              <w:rPr>
                <w:lang w:val="en-US"/>
              </w:rPr>
              <w:t>адаптерам</w:t>
            </w:r>
            <w:proofErr w:type="spellEnd"/>
            <w:r w:rsidRPr="00667EED">
              <w:rPr>
                <w:lang w:val="en-US"/>
              </w:rPr>
              <w:t xml:space="preserve">)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60947-4-2-2023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Аппаратура распределения и управления низковольтная. Часть 4-2. Контакторы и пускатели электродвигателей. </w:t>
            </w:r>
            <w:proofErr w:type="spellStart"/>
            <w:r w:rsidRPr="00667EED">
              <w:rPr>
                <w:lang w:val="en-US"/>
              </w:rPr>
              <w:t>Полупроводниковые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контроллеры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пускатели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электродвигателей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переменного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тока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60999-2-2023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Соединительные устройства. Требования безопасности к контактным зажимам. Часть 2. Дополнительные требования к винтовым и </w:t>
            </w:r>
            <w:proofErr w:type="spellStart"/>
            <w:r w:rsidRPr="009B7401">
              <w:t>безвинтовым</w:t>
            </w:r>
            <w:proofErr w:type="spellEnd"/>
            <w:r w:rsidRPr="009B7401">
              <w:t xml:space="preserve"> контактным зажимам для соединения медных проводников </w:t>
            </w:r>
            <w:r w:rsidRPr="00667EED">
              <w:rPr>
                <w:lang w:val="en-US"/>
              </w:rPr>
              <w:t>c</w:t>
            </w:r>
            <w:r w:rsidRPr="009B7401">
              <w:t xml:space="preserve"> номинальным сечением от 35 до 300 мм</w:t>
            </w:r>
            <w:proofErr w:type="gramStart"/>
            <w:r w:rsidRPr="009B7401">
              <w:t>2</w:t>
            </w:r>
            <w:proofErr w:type="gram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61058-2-4-2023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Выключатели для электрических бытовых приборов. Часть 2-4. Дополнительные требования к независимо устанавливаемым выключателям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61204-7-2023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Источники питания низковольтные импульсные. Часть 7.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698-2023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>Нефтяная и газовая промышленность. Системы подводной добычи. Оконечные устройства трубопровода и линейные тройники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828-2023</w:t>
            </w:r>
          </w:p>
        </w:tc>
        <w:tc>
          <w:tcPr>
            <w:tcW w:w="5562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9B7401">
              <w:t xml:space="preserve">Устройства и системы электросвязи для систем управления железнодорожным подвижным составом в автоматическом и дистанционном режимах.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10.10.2023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C0BA4" w:rsidRPr="00A8554F" w:rsidTr="00D513D8">
        <w:trPr>
          <w:cantSplit/>
        </w:trPr>
        <w:tc>
          <w:tcPr>
            <w:tcW w:w="567" w:type="dxa"/>
          </w:tcPr>
          <w:p w:rsidR="001C0BA4" w:rsidRPr="00A8554F" w:rsidRDefault="001C0BA4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C0BA4" w:rsidRPr="00667EED" w:rsidRDefault="001C0BA4" w:rsidP="00241A9A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833-2023</w:t>
            </w:r>
          </w:p>
        </w:tc>
        <w:tc>
          <w:tcPr>
            <w:tcW w:w="5562" w:type="dxa"/>
          </w:tcPr>
          <w:p w:rsidR="001C0BA4" w:rsidRPr="009B7401" w:rsidRDefault="001C0BA4" w:rsidP="00241A9A">
            <w:pPr>
              <w:jc w:val="center"/>
            </w:pPr>
            <w:r w:rsidRPr="009B7401">
              <w:t xml:space="preserve">Пластмассы. Полиэтилентерефталат </w:t>
            </w:r>
            <w:proofErr w:type="spellStart"/>
            <w:r w:rsidRPr="009B7401">
              <w:t>рециклированный</w:t>
            </w:r>
            <w:proofErr w:type="spellEnd"/>
            <w:r w:rsidRPr="009B7401">
              <w:t>. Общие технические условия</w:t>
            </w:r>
          </w:p>
        </w:tc>
        <w:tc>
          <w:tcPr>
            <w:tcW w:w="1523" w:type="dxa"/>
          </w:tcPr>
          <w:p w:rsidR="001C0BA4" w:rsidRPr="00CC315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996" w:type="dxa"/>
          </w:tcPr>
          <w:p w:rsidR="001C0BA4" w:rsidRPr="00FF4A13" w:rsidRDefault="001C0BA4" w:rsidP="00241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35288" w:rsidRDefault="00F35288" w:rsidP="00A72AB2">
      <w:pPr>
        <w:ind w:right="-284"/>
        <w:rPr>
          <w:b/>
          <w:bCs/>
          <w:sz w:val="20"/>
          <w:szCs w:val="20"/>
        </w:rPr>
      </w:pPr>
    </w:p>
    <w:p w:rsidR="00F35288" w:rsidRPr="00204D4F" w:rsidRDefault="001C0BA4" w:rsidP="00F35288">
      <w:pPr>
        <w:jc w:val="right"/>
        <w:rPr>
          <w:b/>
        </w:rPr>
      </w:pPr>
      <w:r>
        <w:rPr>
          <w:b/>
        </w:rPr>
        <w:t>18</w:t>
      </w:r>
      <w:r w:rsidR="00F35288">
        <w:rPr>
          <w:b/>
        </w:rPr>
        <w:t>.0</w:t>
      </w:r>
      <w:r>
        <w:rPr>
          <w:b/>
        </w:rPr>
        <w:t>8</w:t>
      </w:r>
      <w:r w:rsidR="00F35288">
        <w:rPr>
          <w:b/>
        </w:rPr>
        <w:t>.2023 г.</w:t>
      </w:r>
    </w:p>
    <w:p w:rsidR="00F35288" w:rsidRPr="00204D4F" w:rsidRDefault="00F35288" w:rsidP="00F35288">
      <w:pPr>
        <w:rPr>
          <w:b/>
        </w:rPr>
      </w:pPr>
    </w:p>
    <w:sectPr w:rsidR="00F35288" w:rsidRPr="00204D4F" w:rsidSect="002D4DA8">
      <w:footerReference w:type="default" r:id="rId8"/>
      <w:pgSz w:w="11906" w:h="16838"/>
      <w:pgMar w:top="568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2B" w:rsidRDefault="00B7152B" w:rsidP="00F17AC6">
      <w:r>
        <w:separator/>
      </w:r>
    </w:p>
  </w:endnote>
  <w:endnote w:type="continuationSeparator" w:id="1">
    <w:p w:rsidR="00B7152B" w:rsidRDefault="00B7152B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B7152B" w:rsidRDefault="00F240E1">
        <w:pPr>
          <w:pStyle w:val="a5"/>
          <w:jc w:val="center"/>
        </w:pPr>
        <w:fldSimple w:instr="PAGE   \* MERGEFORMAT">
          <w:r w:rsidR="001C0BA4">
            <w:rPr>
              <w:noProof/>
            </w:rPr>
            <w:t>4</w:t>
          </w:r>
        </w:fldSimple>
      </w:p>
    </w:sdtContent>
  </w:sdt>
  <w:p w:rsidR="00B7152B" w:rsidRDefault="00B71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2B" w:rsidRDefault="00B7152B" w:rsidP="00F17AC6">
      <w:r>
        <w:separator/>
      </w:r>
    </w:p>
  </w:footnote>
  <w:footnote w:type="continuationSeparator" w:id="1">
    <w:p w:rsidR="00B7152B" w:rsidRDefault="00B7152B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FC5043AC"/>
    <w:lvl w:ilvl="0" w:tplc="87E83FEE">
      <w:start w:val="1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31CBE"/>
    <w:rsid w:val="00040750"/>
    <w:rsid w:val="000D3E64"/>
    <w:rsid w:val="00176EF5"/>
    <w:rsid w:val="00185EF9"/>
    <w:rsid w:val="001A4334"/>
    <w:rsid w:val="001C0BA4"/>
    <w:rsid w:val="001E2389"/>
    <w:rsid w:val="00202734"/>
    <w:rsid w:val="00204D4F"/>
    <w:rsid w:val="002323D6"/>
    <w:rsid w:val="00250914"/>
    <w:rsid w:val="002734F0"/>
    <w:rsid w:val="002D4DA8"/>
    <w:rsid w:val="00382081"/>
    <w:rsid w:val="003A2040"/>
    <w:rsid w:val="003B685F"/>
    <w:rsid w:val="003E560F"/>
    <w:rsid w:val="003F103A"/>
    <w:rsid w:val="003F290D"/>
    <w:rsid w:val="00406B85"/>
    <w:rsid w:val="004B3A18"/>
    <w:rsid w:val="004B409F"/>
    <w:rsid w:val="00520D84"/>
    <w:rsid w:val="00552A52"/>
    <w:rsid w:val="005646AF"/>
    <w:rsid w:val="005711F6"/>
    <w:rsid w:val="005955AD"/>
    <w:rsid w:val="00595774"/>
    <w:rsid w:val="005A5FF1"/>
    <w:rsid w:val="005B4397"/>
    <w:rsid w:val="005E11ED"/>
    <w:rsid w:val="005E266B"/>
    <w:rsid w:val="00625948"/>
    <w:rsid w:val="00630DB8"/>
    <w:rsid w:val="00636B01"/>
    <w:rsid w:val="006560D4"/>
    <w:rsid w:val="00667EED"/>
    <w:rsid w:val="006F5AD4"/>
    <w:rsid w:val="00716CA4"/>
    <w:rsid w:val="00724EC8"/>
    <w:rsid w:val="0075293A"/>
    <w:rsid w:val="00761200"/>
    <w:rsid w:val="007815EB"/>
    <w:rsid w:val="007E0A43"/>
    <w:rsid w:val="008576CF"/>
    <w:rsid w:val="008861B5"/>
    <w:rsid w:val="00930DD3"/>
    <w:rsid w:val="009B395C"/>
    <w:rsid w:val="00A00C2B"/>
    <w:rsid w:val="00A33D94"/>
    <w:rsid w:val="00A6685E"/>
    <w:rsid w:val="00A72AB2"/>
    <w:rsid w:val="00A7376C"/>
    <w:rsid w:val="00A8554F"/>
    <w:rsid w:val="00AB41C9"/>
    <w:rsid w:val="00AC266C"/>
    <w:rsid w:val="00AD5991"/>
    <w:rsid w:val="00B7152B"/>
    <w:rsid w:val="00B93864"/>
    <w:rsid w:val="00BA15EA"/>
    <w:rsid w:val="00BF001C"/>
    <w:rsid w:val="00BF40B5"/>
    <w:rsid w:val="00C01070"/>
    <w:rsid w:val="00C70424"/>
    <w:rsid w:val="00C76B8B"/>
    <w:rsid w:val="00CB6BBB"/>
    <w:rsid w:val="00CC3153"/>
    <w:rsid w:val="00D269C3"/>
    <w:rsid w:val="00D27890"/>
    <w:rsid w:val="00D323E3"/>
    <w:rsid w:val="00D501A2"/>
    <w:rsid w:val="00D513D8"/>
    <w:rsid w:val="00D71F6D"/>
    <w:rsid w:val="00D924F6"/>
    <w:rsid w:val="00D92DC9"/>
    <w:rsid w:val="00D95DC0"/>
    <w:rsid w:val="00DF073B"/>
    <w:rsid w:val="00E07343"/>
    <w:rsid w:val="00E32160"/>
    <w:rsid w:val="00E57262"/>
    <w:rsid w:val="00E94498"/>
    <w:rsid w:val="00E95F87"/>
    <w:rsid w:val="00EA7813"/>
    <w:rsid w:val="00EC7748"/>
    <w:rsid w:val="00F17AC6"/>
    <w:rsid w:val="00F240E1"/>
    <w:rsid w:val="00F35288"/>
    <w:rsid w:val="00F4446A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E4E0-1E85-4103-B4B2-F4875BC9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12</cp:revision>
  <cp:lastPrinted>2023-08-18T06:13:00Z</cp:lastPrinted>
  <dcterms:created xsi:type="dcterms:W3CDTF">2023-05-25T09:52:00Z</dcterms:created>
  <dcterms:modified xsi:type="dcterms:W3CDTF">2023-08-18T06:17:00Z</dcterms:modified>
</cp:coreProperties>
</file>